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0"/>
          <w:szCs w:val="30"/>
          <w:b w:val="1"/>
          <w:bCs w:val="1"/>
        </w:rPr>
        <w:t xml:space="preserve">Town of Harrington Bay — Official Plan, Section 4: Land Use Designations</w:t>
      </w:r>
    </w:p>
    <w:p/>
    <w:p>
      <w:pPr/>
      <w:r>
        <w:rPr/>
        <w:t xml:space="preserve">The Official Plan establishes the long-range framework guiding physical growth, servicing, and land use in the Town of Harrington Bay over a twenty-year horizon. This section describes the land use designations shown on Schedule A, the Future Land Use Map, and the policies that govern development within each.</w:t>
      </w:r>
    </w:p>
    <w:p/>
    <w:p>
      <w:pPr/>
      <w:r>
        <w:rPr>
          <w:sz w:val="24"/>
          <w:szCs w:val="24"/>
          <w:b w:val="1"/>
          <w:bCs w:val="1"/>
        </w:rPr>
        <w:t xml:space="preserve">4.1 Settlement Boundary</w:t>
      </w:r>
    </w:p>
    <w:p>
      <w:pPr/>
      <w:r>
        <w:rPr/>
        <w:t xml:space="preserve">A firm settlement boundary is established to contain urban development, protect surrounding agricultural land, and make efficient use of municipal water and sewer infrastructure. No extension of piped services beyond the settlement boundary shall be approved except to remedy a documented public health hazard. Council shall review the boundary once every ten years in conjunction with the census.</w:t>
      </w:r>
    </w:p>
    <w:p/>
    <w:p>
      <w:pPr/>
      <w:r>
        <w:rPr>
          <w:sz w:val="24"/>
          <w:szCs w:val="24"/>
          <w:b w:val="1"/>
          <w:bCs w:val="1"/>
        </w:rPr>
        <w:t xml:space="preserve">4.2 Residential Designation</w:t>
      </w:r>
    </w:p>
    <w:p>
      <w:pPr/>
      <w:r>
        <w:rPr/>
        <w:t xml:space="preserve">Lands designated Residential are intended primarily for low and medium density housing. The Plan encourages gentle density, including garden suites, semi-detached dwellings, and small infill apartments of up to four units, to provide a range of housing options and support the viability of local services. A minimum of fifteen percent of units in any subdivision of more than twenty lots shall be designed for affordable ownership or rental.</w:t>
      </w:r>
    </w:p>
    <w:p/>
    <w:p>
      <w:pPr/>
      <w:r>
        <w:rPr>
          <w:sz w:val="24"/>
          <w:szCs w:val="24"/>
          <w:b w:val="1"/>
          <w:bCs w:val="1"/>
        </w:rPr>
        <w:t xml:space="preserve">4.3 Waterfront Commercial Designation</w:t>
      </w:r>
    </w:p>
    <w:p>
      <w:pPr/>
      <w:r>
        <w:rPr/>
        <w:t xml:space="preserve">The Waterfront Commercial designation applies to lands fronting Harrington Harbour and is intended for tourism, marine, and small-scale retail uses that benefit from a shoreline location, such as the fishery wharf, boat rentals, and seasonal craft markets. Buildings shall not exceed three storeys and shall maintain a continuous public boardwalk along the water edge.</w:t>
      </w:r>
    </w:p>
    <w:p/>
    <w:p>
      <w:pPr/>
      <w:r>
        <w:rPr>
          <w:sz w:val="24"/>
          <w:szCs w:val="24"/>
          <w:b w:val="1"/>
          <w:bCs w:val="1"/>
        </w:rPr>
        <w:t xml:space="preserve">4.4 Environmental Protection Designation</w:t>
      </w:r>
    </w:p>
    <w:p>
      <w:pPr/>
      <w:r>
        <w:rPr/>
        <w:t xml:space="preserve">Coastal dunes, the Miller Creek riparian corridor, and mapped wetlands are placed in an Environmental Protection designation. Development is prohibited within thirty metres of the ordinary high water mark, except for public boardwalks, viewing platforms, and erosion control works approved by the Province. These policies respond to projected sea level rise and increased coastal storm surge.</w:t>
      </w:r>
    </w:p>
    <w:p/>
    <w:p>
      <w:pPr/>
      <w:r>
        <w:rPr>
          <w:sz w:val="24"/>
          <w:szCs w:val="24"/>
          <w:b w:val="1"/>
          <w:bCs w:val="1"/>
        </w:rPr>
        <w:t xml:space="preserve">4.5 Implementation</w:t>
      </w:r>
    </w:p>
    <w:p>
      <w:pPr/>
      <w:r>
        <w:rPr/>
        <w:t xml:space="preserve">The Zoning Bylaw shall bring these designations into effect through corresponding zones. Where a conflict exists between the Official Plan and the Zoning Bylaw, the Official Plan prevails, and Council shall amend the Zoning Bylaw to achieve conformity within one year.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2026-07-15T18:52:00+00:00</dcterms:created>
  <dcterms:modified xsi:type="dcterms:W3CDTF">2026-07-15T18:52:00+00:00</dcterms:modified>
</cp:coreProperties>
</file>

<file path=docProps/custom.xml><?xml version="1.0" encoding="utf-8"?>
<Properties xmlns="http://schemas.openxmlformats.org/officeDocument/2006/custom-properties" xmlns:vt="http://schemas.openxmlformats.org/officeDocument/2006/docPropsVTypes"/>
</file>